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10008" w:type="dxa"/>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2154"/>
        <w:gridCol w:w="7854"/>
      </w:tblGrid>
      <w:tr w:rsidR="002F59AD" w14:paraId="6F679742" w14:textId="77777777">
        <w:trPr>
          <w:trHeight w:val="7730"/>
          <w:tblCellSpacing w:w="36" w:type="dxa"/>
        </w:trPr>
        <w:tc>
          <w:tcPr>
            <w:tcW w:w="2088" w:type="dxa"/>
          </w:tcPr>
          <w:p w14:paraId="72A70DFD" w14:textId="77777777" w:rsidR="002F59AD" w:rsidRPr="002F59AD" w:rsidRDefault="00FB7248" w:rsidP="00E03D1E">
            <w:pPr>
              <w:pStyle w:val="Heading3"/>
            </w:pPr>
            <w:r>
              <w:rPr>
                <w:noProof/>
              </w:rPr>
              <w:drawing>
                <wp:inline distT="0" distB="0" distL="0" distR="0" wp14:anchorId="5551B204" wp14:editId="3A271B58">
                  <wp:extent cx="1152525" cy="857250"/>
                  <wp:effectExtent l="19050" t="0" r="9525" b="0"/>
                  <wp:docPr id="1" name="Picture 1" descr="lOGO_large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arge_final"/>
                          <pic:cNvPicPr>
                            <a:picLocks noChangeAspect="1" noChangeArrowheads="1"/>
                          </pic:cNvPicPr>
                        </pic:nvPicPr>
                        <pic:blipFill>
                          <a:blip r:embed="rId5" cstate="print"/>
                          <a:srcRect/>
                          <a:stretch>
                            <a:fillRect/>
                          </a:stretch>
                        </pic:blipFill>
                        <pic:spPr bwMode="auto">
                          <a:xfrm>
                            <a:off x="0" y="0"/>
                            <a:ext cx="1152525" cy="857250"/>
                          </a:xfrm>
                          <a:prstGeom prst="rect">
                            <a:avLst/>
                          </a:prstGeom>
                          <a:noFill/>
                          <a:ln w="9525">
                            <a:noFill/>
                            <a:miter lim="800000"/>
                            <a:headEnd/>
                            <a:tailEnd/>
                          </a:ln>
                        </pic:spPr>
                      </pic:pic>
                    </a:graphicData>
                  </a:graphic>
                </wp:inline>
              </w:drawing>
            </w:r>
          </w:p>
          <w:p w14:paraId="0DD09B06" w14:textId="77777777" w:rsidR="002F59AD" w:rsidRPr="002F59AD" w:rsidRDefault="002F59AD" w:rsidP="00EE7A56">
            <w:pPr>
              <w:rPr>
                <w:sz w:val="20"/>
                <w:szCs w:val="20"/>
              </w:rPr>
            </w:pPr>
          </w:p>
          <w:p w14:paraId="16D7EF41" w14:textId="77777777" w:rsidR="002F59AD" w:rsidRPr="002F59AD" w:rsidRDefault="002F59AD" w:rsidP="00EE7A56">
            <w:pPr>
              <w:jc w:val="right"/>
              <w:rPr>
                <w:sz w:val="20"/>
                <w:szCs w:val="20"/>
              </w:rPr>
            </w:pPr>
            <w:r w:rsidRPr="002F59AD">
              <w:rPr>
                <w:sz w:val="20"/>
                <w:szCs w:val="20"/>
              </w:rPr>
              <w:t>SUPERIOR COURT OF CALIFORNIA</w:t>
            </w:r>
          </w:p>
          <w:p w14:paraId="75023B52" w14:textId="77777777" w:rsidR="002F59AD" w:rsidRPr="002F59AD" w:rsidRDefault="002F59AD" w:rsidP="00EE7A56">
            <w:pPr>
              <w:jc w:val="right"/>
              <w:rPr>
                <w:sz w:val="20"/>
                <w:szCs w:val="20"/>
              </w:rPr>
            </w:pPr>
            <w:r w:rsidRPr="002F59AD">
              <w:rPr>
                <w:sz w:val="20"/>
                <w:szCs w:val="20"/>
              </w:rPr>
              <w:t xml:space="preserve">COUNTY OF </w:t>
            </w:r>
          </w:p>
          <w:p w14:paraId="71AAA728" w14:textId="77777777" w:rsidR="002F59AD" w:rsidRPr="001A2B8B" w:rsidRDefault="002F59AD" w:rsidP="00EE7A56">
            <w:pPr>
              <w:jc w:val="right"/>
              <w:rPr>
                <w:sz w:val="20"/>
                <w:szCs w:val="20"/>
                <w:lang w:val="es-ES"/>
              </w:rPr>
            </w:pPr>
            <w:r w:rsidRPr="001A2B8B">
              <w:rPr>
                <w:sz w:val="20"/>
                <w:szCs w:val="20"/>
                <w:lang w:val="es-ES"/>
              </w:rPr>
              <w:t>SANTA CRUZ</w:t>
            </w:r>
          </w:p>
          <w:p w14:paraId="3ADB98CD" w14:textId="77777777" w:rsidR="002F59AD" w:rsidRPr="001A2B8B" w:rsidRDefault="002F59AD" w:rsidP="00EE7A56">
            <w:pPr>
              <w:jc w:val="right"/>
              <w:rPr>
                <w:sz w:val="20"/>
                <w:szCs w:val="20"/>
                <w:lang w:val="es-ES"/>
              </w:rPr>
            </w:pPr>
            <w:r w:rsidRPr="001A2B8B">
              <w:rPr>
                <w:sz w:val="20"/>
                <w:szCs w:val="20"/>
                <w:lang w:val="es-ES"/>
              </w:rPr>
              <w:t xml:space="preserve">701 </w:t>
            </w:r>
            <w:proofErr w:type="spellStart"/>
            <w:r w:rsidRPr="001A2B8B">
              <w:rPr>
                <w:sz w:val="20"/>
                <w:szCs w:val="20"/>
                <w:lang w:val="es-ES"/>
              </w:rPr>
              <w:t>Ocean</w:t>
            </w:r>
            <w:proofErr w:type="spellEnd"/>
            <w:r w:rsidRPr="001A2B8B">
              <w:rPr>
                <w:sz w:val="20"/>
                <w:szCs w:val="20"/>
                <w:lang w:val="es-ES"/>
              </w:rPr>
              <w:t xml:space="preserve"> Street</w:t>
            </w:r>
          </w:p>
          <w:p w14:paraId="1581C046" w14:textId="77777777" w:rsidR="002F59AD" w:rsidRPr="001A2B8B" w:rsidRDefault="002F59AD" w:rsidP="00EE7A56">
            <w:pPr>
              <w:jc w:val="right"/>
              <w:rPr>
                <w:sz w:val="20"/>
                <w:szCs w:val="20"/>
                <w:lang w:val="es-ES"/>
              </w:rPr>
            </w:pPr>
            <w:r w:rsidRPr="001A2B8B">
              <w:rPr>
                <w:sz w:val="20"/>
                <w:szCs w:val="20"/>
                <w:lang w:val="es-ES"/>
              </w:rPr>
              <w:t>Santa Cruz, CA 95060</w:t>
            </w:r>
          </w:p>
          <w:p w14:paraId="2DBA0211" w14:textId="77777777" w:rsidR="002F59AD" w:rsidRPr="001A2B8B" w:rsidRDefault="002F59AD" w:rsidP="00EE7A56">
            <w:pPr>
              <w:rPr>
                <w:sz w:val="20"/>
                <w:szCs w:val="20"/>
                <w:lang w:val="es-ES"/>
              </w:rPr>
            </w:pPr>
            <w:r w:rsidRPr="001A2B8B">
              <w:rPr>
                <w:sz w:val="20"/>
                <w:szCs w:val="20"/>
                <w:lang w:val="es-ES"/>
              </w:rPr>
              <w:t xml:space="preserve"> </w:t>
            </w:r>
          </w:p>
          <w:p w14:paraId="6DC2B3FD" w14:textId="77777777" w:rsidR="002F59AD" w:rsidRDefault="002F59AD" w:rsidP="00EE7A56">
            <w:pPr>
              <w:rPr>
                <w:sz w:val="20"/>
                <w:szCs w:val="20"/>
              </w:rPr>
            </w:pPr>
          </w:p>
          <w:p w14:paraId="617FEE90" w14:textId="77777777" w:rsidR="00845769" w:rsidRDefault="00845769" w:rsidP="00EE7A56">
            <w:pPr>
              <w:jc w:val="right"/>
              <w:rPr>
                <w:sz w:val="20"/>
                <w:szCs w:val="20"/>
              </w:rPr>
            </w:pPr>
          </w:p>
          <w:p w14:paraId="03EFFBAF" w14:textId="77777777" w:rsidR="00845769" w:rsidRDefault="00845769" w:rsidP="00EE7A56">
            <w:pPr>
              <w:jc w:val="right"/>
              <w:rPr>
                <w:sz w:val="20"/>
                <w:szCs w:val="20"/>
              </w:rPr>
            </w:pPr>
          </w:p>
          <w:p w14:paraId="2897153C" w14:textId="77777777" w:rsidR="00845769" w:rsidRPr="002F59AD" w:rsidRDefault="00845769" w:rsidP="00EE7A56">
            <w:pPr>
              <w:jc w:val="right"/>
              <w:rPr>
                <w:sz w:val="20"/>
                <w:szCs w:val="20"/>
              </w:rPr>
            </w:pPr>
          </w:p>
        </w:tc>
        <w:tc>
          <w:tcPr>
            <w:tcW w:w="7920" w:type="dxa"/>
          </w:tcPr>
          <w:p w14:paraId="47165C2A" w14:textId="77777777" w:rsidR="002F59AD" w:rsidRDefault="002F59AD" w:rsidP="00EE7A56"/>
          <w:p w14:paraId="3FDA8808" w14:textId="77777777" w:rsidR="002F59AD" w:rsidRPr="00A43AE5" w:rsidRDefault="002F59AD" w:rsidP="00EE7A56">
            <w:pPr>
              <w:rPr>
                <w:b/>
                <w:sz w:val="56"/>
                <w:szCs w:val="56"/>
              </w:rPr>
            </w:pPr>
            <w:r>
              <w:rPr>
                <w:sz w:val="48"/>
                <w:szCs w:val="48"/>
              </w:rPr>
              <w:t xml:space="preserve">          </w:t>
            </w:r>
            <w:r w:rsidRPr="00A43AE5">
              <w:rPr>
                <w:b/>
                <w:sz w:val="56"/>
                <w:szCs w:val="56"/>
              </w:rPr>
              <w:t>MEDIA ADVISORY</w:t>
            </w:r>
          </w:p>
          <w:p w14:paraId="3DA16D67" w14:textId="77777777" w:rsidR="002F59AD" w:rsidRDefault="00E03D1E" w:rsidP="00EE7A56">
            <w:r>
              <w:rPr>
                <w:noProof/>
              </w:rPr>
              <mc:AlternateContent>
                <mc:Choice Requires="wps">
                  <w:drawing>
                    <wp:anchor distT="0" distB="0" distL="114300" distR="114300" simplePos="0" relativeHeight="251657728" behindDoc="0" locked="0" layoutInCell="1" allowOverlap="1" wp14:anchorId="0950DB49" wp14:editId="7DF92A9A">
                      <wp:simplePos x="0" y="0"/>
                      <wp:positionH relativeFrom="column">
                        <wp:posOffset>48895</wp:posOffset>
                      </wp:positionH>
                      <wp:positionV relativeFrom="paragraph">
                        <wp:posOffset>40005</wp:posOffset>
                      </wp:positionV>
                      <wp:extent cx="4572000" cy="0"/>
                      <wp:effectExtent l="5080" t="11430" r="13970"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D5BD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3.15pt" to="363.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fm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"/>
                  </w:pict>
                </mc:Fallback>
              </mc:AlternateContent>
            </w:r>
          </w:p>
          <w:p w14:paraId="74EEE1BB" w14:textId="7C3933D7" w:rsidR="002F59AD" w:rsidRDefault="00A43AE5" w:rsidP="00EE7A56">
            <w:r>
              <w:t>Release Date:</w:t>
            </w:r>
            <w:r w:rsidR="00BE2640">
              <w:t xml:space="preserve"> </w:t>
            </w:r>
            <w:proofErr w:type="gramStart"/>
            <w:r w:rsidR="005C1E68">
              <w:t>04/03</w:t>
            </w:r>
            <w:r w:rsidR="006F5DA5">
              <w:t>/202</w:t>
            </w:r>
            <w:r w:rsidR="0096566C">
              <w:t>4</w:t>
            </w:r>
            <w:proofErr w:type="gramEnd"/>
          </w:p>
          <w:p w14:paraId="0B56B08F" w14:textId="77777777" w:rsidR="002F59AD" w:rsidRDefault="00125A99" w:rsidP="00125A99">
            <w:r>
              <w:t>For Immediate Release</w:t>
            </w:r>
          </w:p>
          <w:p w14:paraId="17C0078A" w14:textId="77777777" w:rsidR="00FB7248" w:rsidRDefault="00FB7248" w:rsidP="00FB7248">
            <w:pPr>
              <w:rPr>
                <w:rFonts w:ascii="Khmer UI" w:hAnsi="Khmer UI" w:cs="Khmer UI"/>
                <w:b/>
                <w:bCs/>
              </w:rPr>
            </w:pPr>
          </w:p>
          <w:p w14:paraId="3CEDE557" w14:textId="3B521F0D" w:rsidR="009848CE" w:rsidRDefault="005C1E68" w:rsidP="00C767FE">
            <w:pPr>
              <w:jc w:val="center"/>
              <w:rPr>
                <w:rFonts w:ascii="Khmer UI" w:hAnsi="Khmer UI" w:cs="Khmer UI"/>
                <w:b/>
                <w:bCs/>
                <w:sz w:val="28"/>
                <w:szCs w:val="28"/>
              </w:rPr>
            </w:pPr>
            <w:r>
              <w:rPr>
                <w:rFonts w:ascii="Khmer UI" w:hAnsi="Khmer UI" w:cs="Khmer UI"/>
                <w:b/>
                <w:bCs/>
                <w:sz w:val="28"/>
                <w:szCs w:val="28"/>
              </w:rPr>
              <w:t xml:space="preserve">Informational Meetings for </w:t>
            </w:r>
            <w:r w:rsidR="0096566C">
              <w:rPr>
                <w:rFonts w:ascii="Khmer UI" w:hAnsi="Khmer UI" w:cs="Khmer UI"/>
                <w:b/>
                <w:bCs/>
                <w:sz w:val="28"/>
                <w:szCs w:val="28"/>
              </w:rPr>
              <w:t xml:space="preserve">Civil Grand Jury </w:t>
            </w:r>
            <w:r>
              <w:rPr>
                <w:rFonts w:ascii="Khmer UI" w:hAnsi="Khmer UI" w:cs="Khmer UI"/>
                <w:b/>
                <w:bCs/>
                <w:sz w:val="28"/>
                <w:szCs w:val="28"/>
              </w:rPr>
              <w:t>Recruitment</w:t>
            </w:r>
          </w:p>
          <w:p w14:paraId="0D841AE4" w14:textId="77777777" w:rsidR="00643507" w:rsidRDefault="00643507" w:rsidP="00FB7248">
            <w:pPr>
              <w:spacing w:line="360" w:lineRule="auto"/>
            </w:pPr>
          </w:p>
          <w:p w14:paraId="2EFF9396" w14:textId="2A7130CB" w:rsidR="005C1E68" w:rsidRPr="005C1E68" w:rsidRDefault="005C1E68" w:rsidP="00FB7248">
            <w:pPr>
              <w:jc w:val="both"/>
            </w:pPr>
            <w:r w:rsidRPr="005C1E68">
              <w:t>The Superior Court will be hosting three informational meetings on the Civil Grand Jury.  Attendees will have the opportunity to speak with current jurors about the opportunity and how their work impacts Santa Cruz County.  Meeting schedule is below:</w:t>
            </w:r>
          </w:p>
          <w:p w14:paraId="19B87CCB" w14:textId="77777777" w:rsidR="005C1E68" w:rsidRDefault="005C1E68" w:rsidP="005C1E68">
            <w:pPr>
              <w:pStyle w:val="NormalWeb"/>
              <w:numPr>
                <w:ilvl w:val="0"/>
                <w:numId w:val="1"/>
              </w:numPr>
              <w:shd w:val="clear" w:color="auto" w:fill="FFFFFF"/>
              <w:spacing w:before="240" w:beforeAutospacing="0" w:after="0" w:afterAutospacing="0"/>
              <w:rPr>
                <w:color w:val="1B1B1B"/>
              </w:rPr>
            </w:pPr>
            <w:r w:rsidRPr="005C1E68">
              <w:rPr>
                <w:color w:val="1B1B1B"/>
              </w:rPr>
              <w:t>April 11th at 1 P.M. On Zoom</w:t>
            </w:r>
            <w:r w:rsidRPr="005C1E68">
              <w:rPr>
                <w:color w:val="1B1B1B"/>
              </w:rPr>
              <w:t>.</w:t>
            </w:r>
            <w:r w:rsidRPr="005C1E68">
              <w:rPr>
                <w:color w:val="1B1B1B"/>
              </w:rPr>
              <w:t xml:space="preserve"> Join the meeting using the following Zoom address: </w:t>
            </w:r>
            <w:hyperlink r:id="rId6" w:tgtFrame="_blank" w:history="1">
              <w:r w:rsidRPr="005C1E68">
                <w:rPr>
                  <w:rStyle w:val="Hyperlink"/>
                  <w:color w:val="168092"/>
                </w:rPr>
                <w:t>https://santacruzcourt-org.zoomgov.com/j/1614719264?pwd=YVBja083NWNDbGFWZHk0Tjg0Sm5wUT09</w:t>
              </w:r>
            </w:hyperlink>
          </w:p>
          <w:p w14:paraId="52FF6276" w14:textId="77777777" w:rsidR="005C1E68" w:rsidRDefault="005C1E68" w:rsidP="005C1E68">
            <w:pPr>
              <w:pStyle w:val="NormalWeb"/>
              <w:numPr>
                <w:ilvl w:val="0"/>
                <w:numId w:val="1"/>
              </w:numPr>
              <w:shd w:val="clear" w:color="auto" w:fill="FFFFFF"/>
              <w:spacing w:before="240" w:beforeAutospacing="0" w:after="0" w:afterAutospacing="0"/>
              <w:rPr>
                <w:color w:val="1B1B1B"/>
              </w:rPr>
            </w:pPr>
            <w:r w:rsidRPr="005C1E68">
              <w:rPr>
                <w:color w:val="1B1B1B"/>
              </w:rPr>
              <w:t>April 17th at 11 A.M. at the Watsonville Courthouse-Assembly Room</w:t>
            </w:r>
          </w:p>
          <w:p w14:paraId="5515264B" w14:textId="5775886B" w:rsidR="005C1E68" w:rsidRPr="005C1E68" w:rsidRDefault="005C1E68" w:rsidP="005C1E68">
            <w:pPr>
              <w:pStyle w:val="NormalWeb"/>
              <w:numPr>
                <w:ilvl w:val="0"/>
                <w:numId w:val="1"/>
              </w:numPr>
              <w:shd w:val="clear" w:color="auto" w:fill="FFFFFF"/>
              <w:spacing w:before="240" w:beforeAutospacing="0" w:after="0" w:afterAutospacing="0"/>
              <w:rPr>
                <w:color w:val="1B1B1B"/>
              </w:rPr>
            </w:pPr>
            <w:r w:rsidRPr="005C1E68">
              <w:rPr>
                <w:color w:val="1B1B1B"/>
              </w:rPr>
              <w:t>April 18th at 1:30 P.M. at the Santa Cruz Courthouse-Jury Trailer</w:t>
            </w:r>
          </w:p>
          <w:p w14:paraId="7C5656FA" w14:textId="77777777" w:rsidR="00EA6E77" w:rsidRPr="005C1E68" w:rsidRDefault="00EA6E77" w:rsidP="00FB7248">
            <w:pPr>
              <w:jc w:val="both"/>
            </w:pPr>
          </w:p>
          <w:p w14:paraId="1753A344" w14:textId="5369B31D" w:rsidR="00FB7248" w:rsidRDefault="00221129" w:rsidP="00FB7248">
            <w:pPr>
              <w:jc w:val="both"/>
            </w:pPr>
            <w:r>
              <w:t>Candidates for the grand j</w:t>
            </w:r>
            <w:r w:rsidR="00FB7248">
              <w:t>ury must be United States citizens, at least 18 years of age, have a working knowledge of the English la</w:t>
            </w:r>
            <w:r>
              <w:t>nguage</w:t>
            </w:r>
            <w:r w:rsidR="00C8455B">
              <w:t>,</w:t>
            </w:r>
            <w:r>
              <w:t xml:space="preserve"> and have resided in the c</w:t>
            </w:r>
            <w:r w:rsidR="00FB7248">
              <w:t xml:space="preserve">ounty for at least one year. </w:t>
            </w:r>
            <w:r w:rsidR="00681ED0">
              <w:t>The Superior Court of Santa Cruz County</w:t>
            </w:r>
            <w:r w:rsidR="00FB7248">
              <w:t xml:space="preserve"> is seeking a volunteer pool </w:t>
            </w:r>
            <w:r w:rsidR="00A5658C">
              <w:t xml:space="preserve">that represents </w:t>
            </w:r>
            <w:r w:rsidR="00FB7248">
              <w:t xml:space="preserve">the ethnic and cultural diversity of communities within </w:t>
            </w:r>
            <w:r w:rsidR="00681ED0">
              <w:t>the</w:t>
            </w:r>
            <w:r w:rsidR="00FB7248">
              <w:t xml:space="preserve"> county.  All qualified citizens interested in serving on the 20</w:t>
            </w:r>
            <w:r w:rsidR="00681ED0">
              <w:t>2</w:t>
            </w:r>
            <w:r w:rsidR="006F5DA5">
              <w:t>3</w:t>
            </w:r>
            <w:r w:rsidR="00607F3D">
              <w:t>-</w:t>
            </w:r>
            <w:r w:rsidR="00E03D1E">
              <w:t>202</w:t>
            </w:r>
            <w:r w:rsidR="006F5DA5">
              <w:t>4</w:t>
            </w:r>
            <w:r w:rsidR="00FB7248">
              <w:t xml:space="preserve"> </w:t>
            </w:r>
            <w:r>
              <w:t xml:space="preserve">Civil </w:t>
            </w:r>
            <w:r w:rsidR="00FB7248">
              <w:t>G</w:t>
            </w:r>
            <w:r>
              <w:t xml:space="preserve">rand Jury are invited to </w:t>
            </w:r>
            <w:r w:rsidR="00FE1852">
              <w:t>apply</w:t>
            </w:r>
            <w:r w:rsidR="00FB7248">
              <w:t xml:space="preserve"> to the Superior Court for consideration. </w:t>
            </w:r>
          </w:p>
          <w:p w14:paraId="7EAB37A6" w14:textId="77777777" w:rsidR="00FB7248" w:rsidRDefault="00FB7248" w:rsidP="00FB7248">
            <w:pPr>
              <w:jc w:val="both"/>
            </w:pPr>
          </w:p>
          <w:p w14:paraId="0982D43E" w14:textId="3A5F19D2" w:rsidR="00FB7248" w:rsidRDefault="00FB7248" w:rsidP="00FB7248">
            <w:pPr>
              <w:jc w:val="both"/>
            </w:pPr>
            <w:r>
              <w:t xml:space="preserve">For applications and more information, please visit </w:t>
            </w:r>
            <w:r w:rsidR="00221129">
              <w:t xml:space="preserve">the Court’s </w:t>
            </w:r>
            <w:r>
              <w:t xml:space="preserve">website at </w:t>
            </w:r>
            <w:hyperlink r:id="rId7" w:history="1">
              <w:r>
                <w:rPr>
                  <w:rStyle w:val="Hyperlink"/>
                </w:rPr>
                <w:t>www.santacruzcourt.org</w:t>
              </w:r>
            </w:hyperlink>
            <w:r w:rsidR="00221129">
              <w:t>.</w:t>
            </w:r>
            <w:r>
              <w:t xml:space="preserve"> All applications must be received by </w:t>
            </w:r>
            <w:r w:rsidR="0096566C">
              <w:t>April 29, 2024.</w:t>
            </w:r>
          </w:p>
          <w:p w14:paraId="7B150897" w14:textId="77777777" w:rsidR="00221129" w:rsidRDefault="00221129" w:rsidP="00FB7248">
            <w:pPr>
              <w:jc w:val="both"/>
            </w:pPr>
          </w:p>
          <w:p w14:paraId="70F7804A" w14:textId="77777777" w:rsidR="00221129" w:rsidRDefault="00221129" w:rsidP="00FB7248">
            <w:pPr>
              <w:jc w:val="both"/>
            </w:pPr>
            <w:r>
              <w:t xml:space="preserve">For questions, please contact the Superior Court Jury Commissioner’s Office by email at </w:t>
            </w:r>
            <w:hyperlink r:id="rId8" w:history="1">
              <w:r w:rsidRPr="00AC56D9">
                <w:rPr>
                  <w:rStyle w:val="Hyperlink"/>
                </w:rPr>
                <w:t>jury.information@santacruzcourt.org</w:t>
              </w:r>
            </w:hyperlink>
            <w:r>
              <w:t xml:space="preserve">. </w:t>
            </w:r>
          </w:p>
          <w:p w14:paraId="62018566" w14:textId="104EBF39" w:rsidR="0096566C" w:rsidRDefault="0096566C" w:rsidP="00EE7A56">
            <w:pPr>
              <w:spacing w:line="360" w:lineRule="auto"/>
            </w:pPr>
          </w:p>
        </w:tc>
      </w:tr>
      <w:tr w:rsidR="002F59AD" w14:paraId="2C360699" w14:textId="77777777">
        <w:trPr>
          <w:trHeight w:val="7730"/>
          <w:tblCellSpacing w:w="36" w:type="dxa"/>
        </w:trPr>
        <w:tc>
          <w:tcPr>
            <w:tcW w:w="2088" w:type="dxa"/>
          </w:tcPr>
          <w:p w14:paraId="7422ACD2" w14:textId="77777777" w:rsidR="002F59AD" w:rsidRPr="002F59AD" w:rsidRDefault="002F59AD" w:rsidP="00410F10">
            <w:pPr>
              <w:rPr>
                <w:sz w:val="20"/>
                <w:szCs w:val="20"/>
              </w:rPr>
            </w:pPr>
          </w:p>
        </w:tc>
        <w:tc>
          <w:tcPr>
            <w:tcW w:w="7920" w:type="dxa"/>
          </w:tcPr>
          <w:p w14:paraId="714CD937" w14:textId="77777777" w:rsidR="002F59AD" w:rsidRDefault="002F59AD" w:rsidP="00EE7A56"/>
        </w:tc>
      </w:tr>
    </w:tbl>
    <w:p w14:paraId="2FA7D98D" w14:textId="77777777" w:rsidR="00F606CC" w:rsidRDefault="00F606CC" w:rsidP="007C2BF8"/>
    <w:sectPr w:rsidR="00F606CC" w:rsidSect="007C2BF8">
      <w:pgSz w:w="12240" w:h="15840"/>
      <w:pgMar w:top="1152" w:right="1440"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hmer UI">
    <w:altName w:val="Khmer UI"/>
    <w:charset w:val="00"/>
    <w:family w:val="swiss"/>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35189"/>
    <w:multiLevelType w:val="hybridMultilevel"/>
    <w:tmpl w:val="9C36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16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48"/>
    <w:rsid w:val="0002305A"/>
    <w:rsid w:val="00036FC5"/>
    <w:rsid w:val="0008326B"/>
    <w:rsid w:val="000D48B3"/>
    <w:rsid w:val="00125A99"/>
    <w:rsid w:val="00136812"/>
    <w:rsid w:val="001A2B8B"/>
    <w:rsid w:val="001B568B"/>
    <w:rsid w:val="001F0268"/>
    <w:rsid w:val="0021217C"/>
    <w:rsid w:val="00221129"/>
    <w:rsid w:val="00247017"/>
    <w:rsid w:val="002542C5"/>
    <w:rsid w:val="002B066B"/>
    <w:rsid w:val="002C2648"/>
    <w:rsid w:val="002E106A"/>
    <w:rsid w:val="002F59AD"/>
    <w:rsid w:val="00306F70"/>
    <w:rsid w:val="003216C9"/>
    <w:rsid w:val="00324F77"/>
    <w:rsid w:val="00376F2C"/>
    <w:rsid w:val="003C5448"/>
    <w:rsid w:val="00410F10"/>
    <w:rsid w:val="00466621"/>
    <w:rsid w:val="004B3335"/>
    <w:rsid w:val="004B5DD5"/>
    <w:rsid w:val="004E4696"/>
    <w:rsid w:val="00502398"/>
    <w:rsid w:val="00561BE5"/>
    <w:rsid w:val="00562DA3"/>
    <w:rsid w:val="005A22E1"/>
    <w:rsid w:val="005C1E68"/>
    <w:rsid w:val="005C6AA3"/>
    <w:rsid w:val="005E674C"/>
    <w:rsid w:val="00607F3D"/>
    <w:rsid w:val="006276C4"/>
    <w:rsid w:val="00643507"/>
    <w:rsid w:val="00660AF8"/>
    <w:rsid w:val="00681ED0"/>
    <w:rsid w:val="006A0E86"/>
    <w:rsid w:val="006B4EFF"/>
    <w:rsid w:val="006C33A1"/>
    <w:rsid w:val="006F2357"/>
    <w:rsid w:val="006F5DA5"/>
    <w:rsid w:val="006F61DC"/>
    <w:rsid w:val="0072682C"/>
    <w:rsid w:val="00735336"/>
    <w:rsid w:val="007B621F"/>
    <w:rsid w:val="007C2BF8"/>
    <w:rsid w:val="007C4FCF"/>
    <w:rsid w:val="007E15E0"/>
    <w:rsid w:val="00845769"/>
    <w:rsid w:val="00866D28"/>
    <w:rsid w:val="008E47A5"/>
    <w:rsid w:val="0090311D"/>
    <w:rsid w:val="009331D6"/>
    <w:rsid w:val="00957514"/>
    <w:rsid w:val="00960053"/>
    <w:rsid w:val="0096566C"/>
    <w:rsid w:val="00972298"/>
    <w:rsid w:val="009848CE"/>
    <w:rsid w:val="009D27E2"/>
    <w:rsid w:val="009E51A1"/>
    <w:rsid w:val="009F2A81"/>
    <w:rsid w:val="00A43AE5"/>
    <w:rsid w:val="00A5658C"/>
    <w:rsid w:val="00B0642C"/>
    <w:rsid w:val="00B15B99"/>
    <w:rsid w:val="00B53CF9"/>
    <w:rsid w:val="00BC3B3E"/>
    <w:rsid w:val="00BE2640"/>
    <w:rsid w:val="00BF4189"/>
    <w:rsid w:val="00C01BD8"/>
    <w:rsid w:val="00C47407"/>
    <w:rsid w:val="00C60A70"/>
    <w:rsid w:val="00C73CAF"/>
    <w:rsid w:val="00C767FE"/>
    <w:rsid w:val="00C8455B"/>
    <w:rsid w:val="00CA51CA"/>
    <w:rsid w:val="00CE1860"/>
    <w:rsid w:val="00CF519D"/>
    <w:rsid w:val="00D27F96"/>
    <w:rsid w:val="00D637CB"/>
    <w:rsid w:val="00DA19A7"/>
    <w:rsid w:val="00DA36ED"/>
    <w:rsid w:val="00DB6353"/>
    <w:rsid w:val="00E03D1E"/>
    <w:rsid w:val="00E95CDD"/>
    <w:rsid w:val="00EA6E77"/>
    <w:rsid w:val="00EE7A56"/>
    <w:rsid w:val="00F04905"/>
    <w:rsid w:val="00F13702"/>
    <w:rsid w:val="00F606CC"/>
    <w:rsid w:val="00FB7248"/>
    <w:rsid w:val="00FE1852"/>
    <w:rsid w:val="00FE6484"/>
    <w:rsid w:val="00FF1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96867D"/>
  <w15:docId w15:val="{04B5EC7B-EAFA-4BFE-B32E-FD09F9CA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1A1"/>
    <w:rPr>
      <w:sz w:val="24"/>
      <w:szCs w:val="24"/>
    </w:rPr>
  </w:style>
  <w:style w:type="paragraph" w:styleId="Heading1">
    <w:name w:val="heading 1"/>
    <w:basedOn w:val="Normal"/>
    <w:next w:val="Normal"/>
    <w:qFormat/>
    <w:rsid w:val="00A43AE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43A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43A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248"/>
    <w:rPr>
      <w:color w:val="0000FF"/>
      <w:u w:val="single"/>
    </w:rPr>
  </w:style>
  <w:style w:type="paragraph" w:styleId="BalloonText">
    <w:name w:val="Balloon Text"/>
    <w:basedOn w:val="Normal"/>
    <w:link w:val="BalloonTextChar"/>
    <w:uiPriority w:val="99"/>
    <w:semiHidden/>
    <w:unhideWhenUsed/>
    <w:rsid w:val="00221129"/>
    <w:rPr>
      <w:rFonts w:ascii="Tahoma" w:hAnsi="Tahoma" w:cs="Tahoma"/>
      <w:sz w:val="16"/>
      <w:szCs w:val="16"/>
    </w:rPr>
  </w:style>
  <w:style w:type="character" w:customStyle="1" w:styleId="BalloonTextChar">
    <w:name w:val="Balloon Text Char"/>
    <w:basedOn w:val="DefaultParagraphFont"/>
    <w:link w:val="BalloonText"/>
    <w:uiPriority w:val="99"/>
    <w:semiHidden/>
    <w:rsid w:val="00221129"/>
    <w:rPr>
      <w:rFonts w:ascii="Tahoma" w:hAnsi="Tahoma" w:cs="Tahoma"/>
      <w:sz w:val="16"/>
      <w:szCs w:val="16"/>
    </w:rPr>
  </w:style>
  <w:style w:type="character" w:styleId="CommentReference">
    <w:name w:val="annotation reference"/>
    <w:basedOn w:val="DefaultParagraphFont"/>
    <w:uiPriority w:val="99"/>
    <w:semiHidden/>
    <w:unhideWhenUsed/>
    <w:rsid w:val="00A5658C"/>
    <w:rPr>
      <w:sz w:val="18"/>
      <w:szCs w:val="18"/>
    </w:rPr>
  </w:style>
  <w:style w:type="paragraph" w:styleId="CommentText">
    <w:name w:val="annotation text"/>
    <w:basedOn w:val="Normal"/>
    <w:link w:val="CommentTextChar"/>
    <w:uiPriority w:val="99"/>
    <w:semiHidden/>
    <w:unhideWhenUsed/>
    <w:rsid w:val="00A5658C"/>
  </w:style>
  <w:style w:type="character" w:customStyle="1" w:styleId="CommentTextChar">
    <w:name w:val="Comment Text Char"/>
    <w:basedOn w:val="DefaultParagraphFont"/>
    <w:link w:val="CommentText"/>
    <w:uiPriority w:val="99"/>
    <w:semiHidden/>
    <w:rsid w:val="00A5658C"/>
    <w:rPr>
      <w:sz w:val="24"/>
      <w:szCs w:val="24"/>
    </w:rPr>
  </w:style>
  <w:style w:type="paragraph" w:styleId="CommentSubject">
    <w:name w:val="annotation subject"/>
    <w:basedOn w:val="CommentText"/>
    <w:next w:val="CommentText"/>
    <w:link w:val="CommentSubjectChar"/>
    <w:uiPriority w:val="99"/>
    <w:semiHidden/>
    <w:unhideWhenUsed/>
    <w:rsid w:val="00A5658C"/>
    <w:rPr>
      <w:b/>
      <w:bCs/>
      <w:sz w:val="20"/>
      <w:szCs w:val="20"/>
    </w:rPr>
  </w:style>
  <w:style w:type="character" w:customStyle="1" w:styleId="CommentSubjectChar">
    <w:name w:val="Comment Subject Char"/>
    <w:basedOn w:val="CommentTextChar"/>
    <w:link w:val="CommentSubject"/>
    <w:uiPriority w:val="99"/>
    <w:semiHidden/>
    <w:rsid w:val="00A5658C"/>
    <w:rPr>
      <w:b/>
      <w:bCs/>
      <w:sz w:val="24"/>
      <w:szCs w:val="24"/>
    </w:rPr>
  </w:style>
  <w:style w:type="character" w:styleId="FollowedHyperlink">
    <w:name w:val="FollowedHyperlink"/>
    <w:basedOn w:val="DefaultParagraphFont"/>
    <w:uiPriority w:val="99"/>
    <w:semiHidden/>
    <w:unhideWhenUsed/>
    <w:rsid w:val="0096566C"/>
    <w:rPr>
      <w:color w:val="800080" w:themeColor="followedHyperlink"/>
      <w:u w:val="single"/>
    </w:rPr>
  </w:style>
  <w:style w:type="paragraph" w:styleId="NormalWeb">
    <w:name w:val="Normal (Web)"/>
    <w:basedOn w:val="Normal"/>
    <w:uiPriority w:val="99"/>
    <w:semiHidden/>
    <w:unhideWhenUsed/>
    <w:rsid w:val="005C1E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28423">
      <w:bodyDiv w:val="1"/>
      <w:marLeft w:val="0"/>
      <w:marRight w:val="0"/>
      <w:marTop w:val="0"/>
      <w:marBottom w:val="0"/>
      <w:divBdr>
        <w:top w:val="none" w:sz="0" w:space="0" w:color="auto"/>
        <w:left w:val="none" w:sz="0" w:space="0" w:color="auto"/>
        <w:bottom w:val="none" w:sz="0" w:space="0" w:color="auto"/>
        <w:right w:val="none" w:sz="0" w:space="0" w:color="auto"/>
      </w:divBdr>
    </w:div>
    <w:div w:id="146941039">
      <w:bodyDiv w:val="1"/>
      <w:marLeft w:val="0"/>
      <w:marRight w:val="0"/>
      <w:marTop w:val="0"/>
      <w:marBottom w:val="0"/>
      <w:divBdr>
        <w:top w:val="none" w:sz="0" w:space="0" w:color="auto"/>
        <w:left w:val="none" w:sz="0" w:space="0" w:color="auto"/>
        <w:bottom w:val="none" w:sz="0" w:space="0" w:color="auto"/>
        <w:right w:val="none" w:sz="0" w:space="0" w:color="auto"/>
      </w:divBdr>
    </w:div>
    <w:div w:id="379328506">
      <w:bodyDiv w:val="1"/>
      <w:marLeft w:val="0"/>
      <w:marRight w:val="0"/>
      <w:marTop w:val="0"/>
      <w:marBottom w:val="0"/>
      <w:divBdr>
        <w:top w:val="none" w:sz="0" w:space="0" w:color="auto"/>
        <w:left w:val="none" w:sz="0" w:space="0" w:color="auto"/>
        <w:bottom w:val="none" w:sz="0" w:space="0" w:color="auto"/>
        <w:right w:val="none" w:sz="0" w:space="0" w:color="auto"/>
      </w:divBdr>
    </w:div>
    <w:div w:id="200632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ry.information@santacruzcourt.org" TargetMode="External"/><Relationship Id="rId3" Type="http://schemas.openxmlformats.org/officeDocument/2006/relationships/settings" Target="settings.xml"/><Relationship Id="rId7" Type="http://schemas.openxmlformats.org/officeDocument/2006/relationships/hyperlink" Target="http://www.santacruzcou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ntacruzcourt-org.zoomgov.com/j/1614719264?pwd=YVBja083NWNDbGFWZHk0Tjg0Sm5wUT09"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222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Santa Cruz Court</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sup338</dc:creator>
  <cp:lastModifiedBy>Tara Acevedo</cp:lastModifiedBy>
  <cp:revision>2</cp:revision>
  <cp:lastPrinted>2024-03-04T22:51:00Z</cp:lastPrinted>
  <dcterms:created xsi:type="dcterms:W3CDTF">2024-04-03T15:33:00Z</dcterms:created>
  <dcterms:modified xsi:type="dcterms:W3CDTF">2024-04-03T15:33:00Z</dcterms:modified>
</cp:coreProperties>
</file>